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trHeight w:val="20" w:hRule="atLeast"/>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trHeight w:val="20" w:hRule="atLeast"/>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trHeight w:val="20" w:hRule="atLeast"/>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trHeight w:val="20" w:hRule="atLeast"/>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RM6226  Debt Resolution Services</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i1SiWxJ+3EQ1+g8G9XZRl3sLOg==">AMUW2mUujIv3VeYMKs+psQk3bldMDvwBcQa945x1vjp/PKoHvW8QtFxaPDIHC3lwN2pOx+h7mt7VQDV2RqGZqjf1slp9PwGPzBDHd9cCVmm9GUTYaGsLE8/G4R3OsXNzfU6Qt7wpt0qd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